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0A12" w:rsidRPr="00E80A12" w:rsidRDefault="001624A8" w:rsidP="00E80A12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 w:rsidR="00087C64"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от </w:t>
      </w:r>
      <w:r w:rsidR="009D5DE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27.10.2023</w:t>
      </w:r>
      <w:r w:rsidR="003B2550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614E4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9D5DE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326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F1094E" w:rsidRDefault="00F1094E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D82F00" w:rsidRDefault="00D82F00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p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834478" w:rsidP="00205728">
            <w:pPr>
              <w:snapToGrid w:val="0"/>
              <w:rPr>
                <w:sz w:val="28"/>
                <w:szCs w:val="28"/>
              </w:rPr>
            </w:pPr>
            <w:r w:rsidRPr="00834478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3B2550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3B2550" w:rsidRDefault="003B2550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3B2550" w:rsidRDefault="003B2550" w:rsidP="009420C1">
                        <w:r>
                          <w:rPr>
                            <w:rFonts w:eastAsia="Times New Roman"/>
                          </w:rPr>
                          <w:t xml:space="preserve"> </w:t>
                        </w:r>
                      </w:p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205728">
            <w:r>
              <w:rPr>
                <w:color w:val="000000"/>
                <w:sz w:val="28"/>
                <w:szCs w:val="28"/>
              </w:rPr>
              <w:t xml:space="preserve">срок реализации 2018-2024 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3B2550">
              <w:rPr>
                <w:spacing w:val="6"/>
                <w:sz w:val="28"/>
                <w:szCs w:val="28"/>
              </w:rPr>
              <w:t>23740,7</w:t>
            </w:r>
            <w:r w:rsidRP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29769D">
              <w:rPr>
                <w:spacing w:val="6"/>
                <w:sz w:val="28"/>
                <w:szCs w:val="28"/>
              </w:rPr>
              <w:t>6996,6</w:t>
            </w:r>
            <w:r w:rsidR="00613F2B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3B2550">
              <w:rPr>
                <w:spacing w:val="6"/>
                <w:sz w:val="28"/>
                <w:szCs w:val="28"/>
              </w:rPr>
              <w:t>5497,6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29769D">
              <w:rPr>
                <w:spacing w:val="6"/>
                <w:sz w:val="28"/>
                <w:szCs w:val="28"/>
              </w:rPr>
              <w:t>1</w:t>
            </w:r>
            <w:r w:rsidRPr="00613F2B">
              <w:rPr>
                <w:spacing w:val="6"/>
                <w:sz w:val="28"/>
                <w:szCs w:val="28"/>
              </w:rPr>
              <w:t>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="000543FF">
              <w:rPr>
                <w:spacing w:val="6"/>
                <w:sz w:val="28"/>
                <w:szCs w:val="28"/>
              </w:rPr>
              <w:t xml:space="preserve"> 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lastRenderedPageBreak/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6E08FB">
            <w:r w:rsidRPr="00613F2B">
              <w:rPr>
                <w:spacing w:val="6"/>
                <w:sz w:val="28"/>
                <w:szCs w:val="28"/>
              </w:rPr>
              <w:t>2024 год – 0,0 тыс</w:t>
            </w:r>
            <w:proofErr w:type="gramStart"/>
            <w:r w:rsidRPr="00613F2B">
              <w:rPr>
                <w:spacing w:val="6"/>
                <w:sz w:val="28"/>
                <w:szCs w:val="28"/>
              </w:rPr>
              <w:t>.р</w:t>
            </w:r>
            <w:proofErr w:type="gramEnd"/>
            <w:r w:rsidRPr="00613F2B">
              <w:rPr>
                <w:spacing w:val="6"/>
                <w:sz w:val="28"/>
                <w:szCs w:val="28"/>
              </w:rPr>
              <w:t>уб.</w:t>
            </w:r>
          </w:p>
        </w:tc>
      </w:tr>
    </w:tbl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lastRenderedPageBreak/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          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681A7D">
      <w:pPr>
        <w:jc w:val="both"/>
      </w:pPr>
      <w:r>
        <w:rPr>
          <w:rFonts w:eastAsia="Times New Roman"/>
          <w:sz w:val="28"/>
          <w:szCs w:val="28"/>
          <w:lang w:eastAsia="ru-RU"/>
        </w:rPr>
        <w:t xml:space="preserve">        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 xml:space="preserve">Формирование комфортной городской среды на 2018-2024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 муниципального образования.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Решение вопросов, связанных с реконструкцией и ремонтами </w:t>
      </w:r>
      <w:proofErr w:type="spellStart"/>
      <w:r>
        <w:rPr>
          <w:rFonts w:eastAsia="Times New Roman"/>
          <w:sz w:val="28"/>
          <w:szCs w:val="28"/>
          <w:lang w:eastAsia="ru-RU"/>
        </w:rPr>
        <w:t>придворовых</w:t>
      </w:r>
      <w:proofErr w:type="spellEnd"/>
      <w:r>
        <w:rPr>
          <w:rFonts w:eastAsia="Times New Roman"/>
          <w:sz w:val="28"/>
          <w:szCs w:val="28"/>
          <w:lang w:eastAsia="ru-RU"/>
        </w:rPr>
        <w:t xml:space="preserve">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</w:t>
      </w:r>
      <w:proofErr w:type="gramStart"/>
      <w:r>
        <w:rPr>
          <w:rFonts w:eastAsia="Times New Roman"/>
          <w:sz w:val="28"/>
          <w:szCs w:val="28"/>
          <w:lang w:eastAsia="ru-RU"/>
        </w:rPr>
        <w:t>дств кр</w:t>
      </w:r>
      <w:proofErr w:type="gramEnd"/>
      <w:r>
        <w:rPr>
          <w:rFonts w:eastAsia="Times New Roman"/>
          <w:sz w:val="28"/>
          <w:szCs w:val="28"/>
          <w:lang w:eastAsia="ru-RU"/>
        </w:rPr>
        <w:t>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их расходованием закреплен в Приложении № 2 к настоящей муниципальной 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lastRenderedPageBreak/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Основные направления реализации муниципальной программы 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</w:t>
      </w:r>
      <w:proofErr w:type="gramStart"/>
      <w:r>
        <w:rPr>
          <w:rFonts w:eastAsia="Times New Roman"/>
          <w:sz w:val="28"/>
          <w:szCs w:val="28"/>
          <w:lang w:eastAsia="ru-RU"/>
        </w:rPr>
        <w:t>развития</w:t>
      </w:r>
      <w:proofErr w:type="gramEnd"/>
      <w:r>
        <w:rPr>
          <w:rFonts w:eastAsia="Times New Roman"/>
          <w:sz w:val="28"/>
          <w:szCs w:val="28"/>
          <w:lang w:eastAsia="ru-RU"/>
        </w:rPr>
        <w:t xml:space="preserve">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>является повышение качества и 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lastRenderedPageBreak/>
        <w:t>Сроки реализации муниципальной программы: 2018 – 2024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муниципальной программы разработаны с учетом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необходимости решения проблем благоустройства территории сельского 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2) благоустройство дворовых территорий сельского поселения, 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</w:t>
      </w:r>
      <w:proofErr w:type="spellStart"/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дизайн-проекта</w:t>
      </w:r>
      <w:proofErr w:type="spellEnd"/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>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Правилами благоустройства территории </w:t>
      </w:r>
      <w:proofErr w:type="spellStart"/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Стародереянковского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2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исходя из минимального и дополнительного перечня работ по благоустройству приведен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>в приложении № 3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4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незавершенного строительства) и земельных участков, находящихся в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5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Pr="009F7E17">
        <w:rPr>
          <w:rFonts w:eastAsia="DejaVu Sans Condensed"/>
          <w:color w:val="00B050"/>
          <w:sz w:val="28"/>
          <w:szCs w:val="28"/>
          <w:lang w:eastAsia="hi-IN" w:bidi="hi-IN"/>
        </w:rPr>
        <w:t xml:space="preserve">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6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  <w:proofErr w:type="gramEnd"/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поселения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маломобильных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групп населения,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осуществляется при активном участии граждан (собственников помещений).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работы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по благоустройству дворовых территорий которых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софинансируются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 использованием средств субсидии из краевого бюджета. </w:t>
      </w:r>
    </w:p>
    <w:p w:rsidR="008E2536" w:rsidRDefault="00F00914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 </w:t>
      </w:r>
      <w:r w:rsidR="008E2536"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Заключение соглашения по результатам закупки товаров, работ и услуг для обеспечения муниципальных нужд в целях реализации муниципальных 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заключения таких соглашений в пределах экономии сре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дств пр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Муниципальная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программ может предусматривать мероприятия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предусмотренные методическими рекомендациями по </w:t>
      </w:r>
      <w:proofErr w:type="spellStart"/>
      <w:r>
        <w:rPr>
          <w:rFonts w:eastAsia="DejaVu Sans Condensed"/>
          <w:color w:val="000000"/>
          <w:sz w:val="28"/>
          <w:szCs w:val="28"/>
          <w:lang w:eastAsia="hi-IN" w:bidi="hi-IN"/>
        </w:rPr>
        <w:t>цифровизации</w:t>
      </w:r>
      <w:proofErr w:type="spell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3B2550">
        <w:rPr>
          <w:color w:val="000000"/>
          <w:spacing w:val="6"/>
          <w:sz w:val="28"/>
          <w:szCs w:val="28"/>
        </w:rPr>
        <w:t>23740,7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1134"/>
        <w:gridCol w:w="851"/>
        <w:gridCol w:w="992"/>
        <w:gridCol w:w="851"/>
        <w:gridCol w:w="850"/>
        <w:gridCol w:w="851"/>
        <w:gridCol w:w="1134"/>
        <w:gridCol w:w="707"/>
      </w:tblGrid>
      <w:tr w:rsidR="00B24918" w:rsidTr="00B24918">
        <w:trPr>
          <w:trHeight w:val="4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3B2550" w:rsidP="0029769D">
            <w:pPr>
              <w:jc w:val="center"/>
            </w:pPr>
            <w:r>
              <w:t>64</w:t>
            </w:r>
            <w:r w:rsidR="0029769D">
              <w:t>0</w:t>
            </w:r>
            <w:r>
              <w:t>5,3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3B2550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5497,6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29769D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</w:t>
            </w:r>
            <w:r w:rsidR="00B24918"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  <w:tr w:rsidR="007F7218" w:rsidTr="009859F0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7F72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3B2550" w:rsidP="0029769D">
            <w:pPr>
              <w:jc w:val="center"/>
            </w:pPr>
            <w:r>
              <w:t>237</w:t>
            </w:r>
            <w:r w:rsidR="0029769D">
              <w:t>3</w:t>
            </w:r>
            <w: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8B2EF4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23220,7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29769D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</w:t>
            </w:r>
            <w:r w:rsidR="00B24918"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</w:tbl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proofErr w:type="gramStart"/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софинансирования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  <w:proofErr w:type="gramEnd"/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a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Механизм реализации муниципальной программы и </w:t>
      </w:r>
      <w:proofErr w:type="gramStart"/>
      <w:r w:rsidRPr="00E80A12">
        <w:rPr>
          <w:rFonts w:eastAsia="Times New Roman"/>
          <w:color w:val="000000"/>
          <w:sz w:val="28"/>
          <w:szCs w:val="28"/>
          <w:lang w:eastAsia="ru-RU"/>
        </w:rPr>
        <w:t>контроль за</w:t>
      </w:r>
      <w:proofErr w:type="gramEnd"/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  <w:proofErr w:type="gramEnd"/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представляет в финансово-экономический отдел отчетность, необходимую для осуществления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поэтапно осуществлять комплексное благоустройство дворовых территорий и общественных территорий с учетом мнения граждан и 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сформировать инструменты общественного </w:t>
      </w: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контроля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proofErr w:type="gramStart"/>
      <w:r>
        <w:rPr>
          <w:rFonts w:eastAsia="DejaVu Sans Condensed"/>
          <w:color w:val="000000"/>
          <w:sz w:val="28"/>
          <w:szCs w:val="28"/>
          <w:lang w:eastAsia="hi-IN" w:bidi="hi-IN"/>
        </w:rPr>
        <w:t>Контроль за</w:t>
      </w:r>
      <w:proofErr w:type="gramEnd"/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сельского поселения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28. 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 Оценка эффективности реализации муниципальной программы 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29.1. 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 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30.1. 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30.2. 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 xml:space="preserve"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  <w:proofErr w:type="gramEnd"/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 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31.1. 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 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32.1. 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 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33.1.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33.2. 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</w:t>
      </w:r>
      <w:r w:rsidR="00BB62C7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33.3. 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 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34.2. Эффективность реализации подпрограммы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 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35.2. Степень достижения планового значения целевого показателя,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35.3. 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              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СДмппз˃1, его значение принимается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равным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 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1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>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 xml:space="preserve">1, 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k2</w:t>
      </w:r>
      <w:proofErr w:type="gramEnd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>коэффициенты значимости подпрограммы для достижения целей муниципальной программы, определяемый в методике оценки 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proofErr w:type="gramStart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–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количество</w:t>
      </w:r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36.2.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Pr="005F439C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8E2536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493D39" w:rsidRDefault="008E2536" w:rsidP="008E2536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</w:t>
      </w:r>
    </w:p>
    <w:p w:rsidR="00D82F00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8E2536" w:rsidSect="009D5DE5">
          <w:headerReference w:type="default" r:id="rId8"/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</w:t>
      </w:r>
      <w:r w:rsidR="00BB62C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3465A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9D5DE5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</w:t>
      </w:r>
      <w:r w:rsidR="00613F2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</w:t>
            </w:r>
          </w:p>
          <w:p w:rsidR="00613F2B" w:rsidRDefault="00613F2B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E2536" w:rsidRPr="00493D39" w:rsidRDefault="00613F2B" w:rsidP="00613F2B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Каневского района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rFonts w:eastAsia="DejaVu Sans Condensed"/>
          <w:color w:val="000000"/>
          <w:sz w:val="28"/>
          <w:szCs w:val="28"/>
          <w:lang w:eastAsia="hi-IN" w:bidi="hi-IN"/>
        </w:rPr>
        <w:t xml:space="preserve">Цели, задачи и целевые показатели муниципальной программы </w:t>
      </w:r>
      <w:r w:rsidRPr="00175338">
        <w:rPr>
          <w:bCs/>
          <w:color w:val="000000"/>
          <w:sz w:val="28"/>
          <w:szCs w:val="28"/>
          <w:bdr w:val="none" w:sz="0" w:space="0" w:color="auto" w:frame="1"/>
        </w:rPr>
        <w:t>«Формирование</w:t>
      </w: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bCs/>
          <w:color w:val="000000"/>
          <w:sz w:val="28"/>
          <w:szCs w:val="28"/>
          <w:bdr w:val="none" w:sz="0" w:space="0" w:color="auto" w:frame="1"/>
        </w:rPr>
        <w:t>комфортной городской среды на 2018-2024 годы на территории</w:t>
      </w:r>
    </w:p>
    <w:p w:rsidR="008E2536" w:rsidRPr="00175338" w:rsidRDefault="002C582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Стародеревянковского се</w:t>
      </w:r>
      <w:r w:rsidR="008E2536" w:rsidRPr="00175338">
        <w:rPr>
          <w:bCs/>
          <w:color w:val="000000"/>
          <w:sz w:val="28"/>
          <w:szCs w:val="28"/>
          <w:bdr w:val="none" w:sz="0" w:space="0" w:color="auto" w:frame="1"/>
        </w:rPr>
        <w:t>льского поселения Каневского района»</w:t>
      </w: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993"/>
        <w:gridCol w:w="3685"/>
        <w:gridCol w:w="1276"/>
        <w:gridCol w:w="992"/>
        <w:gridCol w:w="1276"/>
        <w:gridCol w:w="1079"/>
        <w:gridCol w:w="1472"/>
        <w:gridCol w:w="1134"/>
        <w:gridCol w:w="993"/>
        <w:gridCol w:w="1134"/>
        <w:gridCol w:w="708"/>
      </w:tblGrid>
      <w:tr w:rsidR="002C5826" w:rsidTr="00D82F00">
        <w:trPr>
          <w:trHeight w:val="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№</w:t>
            </w:r>
            <w:r w:rsidRPr="00737974">
              <w:rPr>
                <w:rFonts w:eastAsia="Times New Roman"/>
                <w:sz w:val="22"/>
                <w:szCs w:val="22"/>
                <w:lang w:val="en-US" w:eastAsia="en-US" w:bidi="en-US"/>
              </w:rPr>
              <w:t xml:space="preserve"> </w:t>
            </w:r>
            <w:r w:rsidRPr="00737974">
              <w:rPr>
                <w:sz w:val="22"/>
                <w:szCs w:val="22"/>
                <w:lang w:val="en-US" w:eastAsia="en-US" w:bidi="en-US"/>
              </w:rPr>
              <w:t>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E80A12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Наименование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целевого</w:t>
            </w:r>
            <w:proofErr w:type="spellEnd"/>
            <w:r w:rsidRPr="00E80A12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Ед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D82F00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Статус</w:t>
            </w:r>
            <w:proofErr w:type="spellEnd"/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Значение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показателей</w:t>
            </w:r>
            <w:proofErr w:type="spellEnd"/>
          </w:p>
        </w:tc>
      </w:tr>
      <w:tr w:rsidR="002C5826" w:rsidTr="00D82F00">
        <w:trPr>
          <w:trHeight w:val="27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201</w:t>
            </w:r>
            <w:r w:rsidRPr="00737974">
              <w:rPr>
                <w:sz w:val="22"/>
                <w:szCs w:val="22"/>
                <w:lang w:eastAsia="en-US" w:bidi="en-US"/>
              </w:rPr>
              <w:t>8</w:t>
            </w:r>
            <w:r w:rsidRPr="00737974">
              <w:rPr>
                <w:sz w:val="22"/>
                <w:szCs w:val="22"/>
                <w:lang w:val="en-US" w:eastAsia="en-US" w:bidi="en-US"/>
              </w:rPr>
              <w:t xml:space="preserve"> 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2019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2024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2000,0</w:t>
            </w: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rPr>
                <w:sz w:val="20"/>
                <w:szCs w:val="20"/>
                <w:lang w:eastAsia="en-US" w:bidi="en-US"/>
              </w:rPr>
            </w:pPr>
            <w:r>
              <w:rPr>
                <w:sz w:val="20"/>
                <w:szCs w:val="20"/>
                <w:lang w:eastAsia="en-US" w:bidi="en-US"/>
              </w:rPr>
              <w:t xml:space="preserve">  </w:t>
            </w: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2</w:t>
            </w:r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proofErr w:type="gramStart"/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</w:t>
            </w:r>
            <w:r w:rsidRPr="00CA71C8">
              <w:rPr>
                <w:sz w:val="18"/>
                <w:szCs w:val="18"/>
                <w:lang w:eastAsia="en-US" w:bidi="en-US"/>
              </w:rPr>
              <w:t>0</w:t>
            </w: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9800</w:t>
            </w:r>
          </w:p>
        </w:tc>
      </w:tr>
      <w:tr w:rsidR="002C5826" w:rsidTr="00D82F00">
        <w:trPr>
          <w:trHeight w:val="10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</w:tbl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</w:p>
    <w:p w:rsidR="002C5826" w:rsidRPr="00D82F00" w:rsidRDefault="002C5826" w:rsidP="00D82F00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</w:t>
      </w:r>
      <w:r w:rsidR="00E80A1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И.Ю.Власенко</w:t>
      </w:r>
    </w:p>
    <w:p w:rsidR="002C5826" w:rsidRDefault="002C5826" w:rsidP="00E80A12">
      <w:pPr>
        <w:ind w:left="426"/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2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</w:t>
            </w:r>
            <w:r w:rsidR="00D82F00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</w:t>
            </w: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комфортной городской среды на 2018-2024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2018-2024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1985"/>
        <w:gridCol w:w="1559"/>
        <w:gridCol w:w="992"/>
        <w:gridCol w:w="1134"/>
        <w:gridCol w:w="993"/>
        <w:gridCol w:w="850"/>
        <w:gridCol w:w="992"/>
        <w:gridCol w:w="993"/>
        <w:gridCol w:w="850"/>
        <w:gridCol w:w="1134"/>
        <w:gridCol w:w="1276"/>
        <w:gridCol w:w="1276"/>
      </w:tblGrid>
      <w:tr w:rsidR="00E80A12" w:rsidRPr="003B6E08" w:rsidTr="00E80A12">
        <w:trPr>
          <w:trHeight w:val="1000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  <w:proofErr w:type="gramEnd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/</w:t>
            </w:r>
            <w:proofErr w:type="spellStart"/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</w:t>
            </w:r>
            <w:proofErr w:type="spellEnd"/>
          </w:p>
        </w:tc>
        <w:tc>
          <w:tcPr>
            <w:tcW w:w="1985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 xml:space="preserve">Источник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финансирования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E80A12" w:rsidRPr="003B6E08" w:rsidTr="00E80A12">
        <w:trPr>
          <w:trHeight w:val="281"/>
        </w:trPr>
        <w:tc>
          <w:tcPr>
            <w:tcW w:w="82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6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3B2550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23476,3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3B2550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22823,0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 xml:space="preserve"> 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3B2550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6151,6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3B2550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5497,6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Благоустройство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2908,7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2908,7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</w:t>
            </w:r>
            <w:r w:rsidRPr="003B6E08">
              <w:rPr>
                <w:sz w:val="18"/>
                <w:szCs w:val="18"/>
              </w:rPr>
              <w:lastRenderedPageBreak/>
              <w:t>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</w:t>
            </w:r>
            <w:r w:rsidRPr="003B6E08">
              <w:rPr>
                <w:sz w:val="18"/>
                <w:szCs w:val="18"/>
              </w:rPr>
              <w:lastRenderedPageBreak/>
              <w:t>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2908,7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2908,7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 xml:space="preserve">федеральный </w:t>
            </w: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lastRenderedPageBreak/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благоустройству парков, скверов, мест общего </w:t>
            </w:r>
            <w:proofErr w:type="gramStart"/>
            <w:r>
              <w:rPr>
                <w:sz w:val="18"/>
                <w:szCs w:val="18"/>
              </w:rPr>
              <w:t>пользования</w:t>
            </w:r>
            <w:proofErr w:type="gramEnd"/>
            <w:r>
              <w:rPr>
                <w:sz w:val="18"/>
                <w:szCs w:val="18"/>
              </w:rPr>
              <w:t xml:space="preserve">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:rsidR="00003042" w:rsidRPr="003B6E08" w:rsidRDefault="0029769D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</w:t>
            </w:r>
            <w:proofErr w:type="gramStart"/>
            <w:r w:rsidRPr="003B6E08">
              <w:rPr>
                <w:sz w:val="18"/>
                <w:szCs w:val="18"/>
              </w:rPr>
              <w:t>пользования</w:t>
            </w:r>
            <w:proofErr w:type="gramEnd"/>
            <w:r w:rsidRPr="003B6E08">
              <w:rPr>
                <w:sz w:val="18"/>
                <w:szCs w:val="18"/>
              </w:rPr>
              <w:t xml:space="preserve">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:rsidR="00003042" w:rsidRPr="003B6E08" w:rsidRDefault="0029769D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2237,3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2037,3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2237,3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2037,3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Default="00DB34D8" w:rsidP="00AE5D6B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 xml:space="preserve">Мероприятия по благоустройству общественных территорий (набережные, 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центральные площади, 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</w:t>
            </w:r>
            <w:r w:rsidRPr="003B6E08">
              <w:rPr>
                <w:sz w:val="18"/>
                <w:szCs w:val="18"/>
              </w:rPr>
              <w:lastRenderedPageBreak/>
              <w:t xml:space="preserve">форм, обустройство пандусов для передвижения </w:t>
            </w:r>
            <w:proofErr w:type="spellStart"/>
            <w:r w:rsidRPr="003B6E08">
              <w:rPr>
                <w:sz w:val="18"/>
                <w:szCs w:val="18"/>
              </w:rPr>
              <w:t>маломобильных</w:t>
            </w:r>
            <w:proofErr w:type="spellEnd"/>
            <w:r w:rsidRPr="003B6E08">
              <w:rPr>
                <w:sz w:val="18"/>
                <w:szCs w:val="1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</w:t>
            </w:r>
            <w:r w:rsidRPr="003B6E08">
              <w:rPr>
                <w:sz w:val="18"/>
                <w:szCs w:val="18"/>
              </w:rPr>
              <w:lastRenderedPageBreak/>
              <w:t>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9769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9769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863761" w:rsidP="002976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</w:t>
            </w:r>
            <w:r w:rsidR="0029769D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3B2550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22823,0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</w:t>
            </w:r>
            <w:r w:rsidR="00DB34D8"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863761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64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0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5,3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863761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5497,6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</w:t>
            </w:r>
            <w:r w:rsidR="00DB34D8"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3B6E08" w:rsidRPr="00D82F00" w:rsidRDefault="003B6E08" w:rsidP="00D82F00">
      <w:pPr>
        <w:ind w:left="-284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сельского поселения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Каневского района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                                                                                  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И.Ю.Власенко</w:t>
      </w: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ПРИЛОЖЕНИЕ № 3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D82F0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Железнодорожная</w:t>
            </w:r>
            <w:proofErr w:type="gramEnd"/>
            <w:r>
              <w:rPr>
                <w:sz w:val="28"/>
                <w:szCs w:val="28"/>
              </w:rPr>
              <w:t xml:space="preserve">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>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 xml:space="preserve">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</w:t>
            </w:r>
            <w:r w:rsidRPr="00EA0E7B">
              <w:rPr>
                <w:sz w:val="28"/>
                <w:szCs w:val="28"/>
              </w:rPr>
              <w:lastRenderedPageBreak/>
              <w:t xml:space="preserve">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</w:t>
            </w:r>
            <w:proofErr w:type="gramStart"/>
            <w:r>
              <w:rPr>
                <w:sz w:val="28"/>
                <w:szCs w:val="28"/>
              </w:rPr>
              <w:t>Комсомольская</w:t>
            </w:r>
            <w:proofErr w:type="gramEnd"/>
            <w:r>
              <w:rPr>
                <w:sz w:val="28"/>
                <w:szCs w:val="28"/>
              </w:rPr>
              <w:t xml:space="preserve">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детских и спортивных площадок, озеленение, наличие приспособлений для </w:t>
            </w:r>
            <w:proofErr w:type="spellStart"/>
            <w:r w:rsidRPr="00EA0E7B">
              <w:rPr>
                <w:sz w:val="28"/>
                <w:szCs w:val="28"/>
              </w:rPr>
              <w:t>маломобильных</w:t>
            </w:r>
            <w:proofErr w:type="spellEnd"/>
            <w:r w:rsidRPr="00EA0E7B">
              <w:rPr>
                <w:sz w:val="28"/>
                <w:szCs w:val="28"/>
              </w:rPr>
              <w:t xml:space="preserve">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8E2536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Стародеревянковского</w:t>
      </w:r>
    </w:p>
    <w:p w:rsidR="008E2536" w:rsidRPr="00D82F00" w:rsidRDefault="008E2536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D82F00">
        <w:rPr>
          <w:rFonts w:eastAsia="Calibri"/>
          <w:sz w:val="28"/>
          <w:szCs w:val="28"/>
        </w:rPr>
        <w:t>Каневского района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</w:t>
      </w:r>
      <w:r w:rsidR="007868B7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                     </w:t>
      </w:r>
      <w:r w:rsidR="00D82F00">
        <w:rPr>
          <w:rFonts w:eastAsia="Calibri"/>
          <w:sz w:val="28"/>
          <w:szCs w:val="28"/>
        </w:rPr>
        <w:t xml:space="preserve">    </w:t>
      </w:r>
      <w:r>
        <w:rPr>
          <w:rFonts w:eastAsia="Calibri"/>
          <w:sz w:val="28"/>
          <w:szCs w:val="28"/>
        </w:rPr>
        <w:t xml:space="preserve"> </w:t>
      </w:r>
      <w:r w:rsidR="00D82F00"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>И.Ю.Власенко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4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202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3"/>
        <w:gridCol w:w="3127"/>
        <w:gridCol w:w="2831"/>
        <w:gridCol w:w="3203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обустройство пандусов для передвижения </w:t>
            </w:r>
            <w:proofErr w:type="spellStart"/>
            <w:r>
              <w:rPr>
                <w:sz w:val="28"/>
                <w:szCs w:val="28"/>
              </w:rPr>
              <w:t>маломобильных</w:t>
            </w:r>
            <w:proofErr w:type="spellEnd"/>
            <w:r>
              <w:rPr>
                <w:sz w:val="28"/>
                <w:szCs w:val="28"/>
              </w:rPr>
              <w:t xml:space="preserve">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ул. </w:t>
            </w:r>
            <w:proofErr w:type="gramStart"/>
            <w:r>
              <w:rPr>
                <w:sz w:val="28"/>
                <w:szCs w:val="28"/>
              </w:rPr>
              <w:t>Красная</w:t>
            </w:r>
            <w:proofErr w:type="gramEnd"/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:rsidTr="00AE5D6B">
        <w:tc>
          <w:tcPr>
            <w:tcW w:w="737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Благоустройство сквера «Заводской», расположенного по адресу: ст</w:t>
            </w:r>
            <w:proofErr w:type="gramStart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.С</w:t>
            </w:r>
            <w:proofErr w:type="gramEnd"/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тародеревянковская, ул.Кирова, 9</w:t>
            </w:r>
          </w:p>
        </w:tc>
        <w:tc>
          <w:tcPr>
            <w:tcW w:w="2199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ирова, 9</w:t>
            </w:r>
          </w:p>
        </w:tc>
        <w:tc>
          <w:tcPr>
            <w:tcW w:w="3620" w:type="dxa"/>
          </w:tcPr>
          <w:p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Озеленение, благоустройство,</w:t>
            </w:r>
            <w:r>
              <w:rPr>
                <w:sz w:val="28"/>
                <w:szCs w:val="28"/>
              </w:rPr>
              <w:t xml:space="preserve"> </w:t>
            </w:r>
            <w:r w:rsidRPr="00EA0E7B">
              <w:rPr>
                <w:sz w:val="28"/>
                <w:szCs w:val="28"/>
              </w:rPr>
              <w:t xml:space="preserve">установка малых архитектурных форм, </w:t>
            </w:r>
            <w:r>
              <w:rPr>
                <w:sz w:val="28"/>
                <w:szCs w:val="28"/>
              </w:rPr>
              <w:t xml:space="preserve">установка детских и спортивных площадок, установка скамеек, </w:t>
            </w:r>
            <w:r>
              <w:rPr>
                <w:sz w:val="28"/>
                <w:szCs w:val="28"/>
              </w:rPr>
              <w:lastRenderedPageBreak/>
              <w:t>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 </w:t>
      </w:r>
      <w:r>
        <w:rPr>
          <w:rFonts w:eastAsia="Calibri"/>
          <w:sz w:val="28"/>
          <w:szCs w:val="28"/>
        </w:rPr>
        <w:t xml:space="preserve">   </w:t>
      </w:r>
      <w:r w:rsidR="007868B7">
        <w:rPr>
          <w:rFonts w:eastAsia="Calibri"/>
          <w:sz w:val="28"/>
          <w:szCs w:val="28"/>
        </w:rPr>
        <w:t>И.Ю.Власенко</w:t>
      </w:r>
    </w:p>
    <w:p w:rsidR="00D3371E" w:rsidRDefault="00D3371E">
      <w:r>
        <w:br w:type="page"/>
      </w:r>
    </w:p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5</w:t>
            </w: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proofErr w:type="gramStart"/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лиц, путем внесения изменений в приложение № 6 к муниципальной</w:t>
      </w:r>
      <w:proofErr w:type="gramEnd"/>
      <w:r w:rsidRPr="00D82F00">
        <w:rPr>
          <w:sz w:val="28"/>
          <w:szCs w:val="28"/>
        </w:rPr>
        <w:t xml:space="preserve"> программе «Формирование комфортной городской среды на 2018-2024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D82F00" w:rsidRDefault="007868B7" w:rsidP="00D82F00">
      <w:pPr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D82F00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D82F00" w:rsidRDefault="00D82F00" w:rsidP="00D82F00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сельского поселения Каневского района</w:t>
      </w:r>
      <w:r w:rsidR="007868B7">
        <w:rPr>
          <w:rFonts w:eastAsia="Calibri"/>
          <w:sz w:val="28"/>
          <w:szCs w:val="28"/>
        </w:rPr>
        <w:t xml:space="preserve">                                  </w:t>
      </w:r>
      <w:r>
        <w:rPr>
          <w:rFonts w:eastAsia="Calibri"/>
          <w:sz w:val="28"/>
          <w:szCs w:val="28"/>
        </w:rPr>
        <w:t xml:space="preserve"> </w:t>
      </w:r>
      <w:r w:rsidR="007868B7">
        <w:rPr>
          <w:rFonts w:eastAsia="Calibri"/>
          <w:sz w:val="28"/>
          <w:szCs w:val="28"/>
        </w:rPr>
        <w:t xml:space="preserve"> И.Ю.Власенко</w:t>
      </w: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>
      <w:pPr>
        <w:widowControl/>
        <w:suppressAutoHyphens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EA0E7B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A0E7B">
              <w:rPr>
                <w:sz w:val="28"/>
                <w:szCs w:val="28"/>
              </w:rPr>
              <w:t>/</w:t>
            </w:r>
            <w:proofErr w:type="spellStart"/>
            <w:r w:rsidRPr="00EA0E7B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 w:rsidRPr="00EA0E7B">
        <w:rPr>
          <w:rFonts w:eastAsia="Calibri"/>
          <w:sz w:val="28"/>
          <w:szCs w:val="28"/>
        </w:rPr>
        <w:t>Заместитель главы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Стародеревянковского</w:t>
      </w:r>
    </w:p>
    <w:p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сельского поселения </w:t>
      </w:r>
      <w:r w:rsidR="0062460B">
        <w:rPr>
          <w:rFonts w:eastAsia="Calibri"/>
          <w:sz w:val="28"/>
          <w:szCs w:val="28"/>
        </w:rPr>
        <w:t>Каневского района</w:t>
      </w:r>
      <w:r>
        <w:rPr>
          <w:rFonts w:eastAsia="Calibri"/>
          <w:sz w:val="28"/>
          <w:szCs w:val="28"/>
        </w:rPr>
        <w:t xml:space="preserve">                                  </w:t>
      </w:r>
      <w:r w:rsidR="00BB62C7">
        <w:rPr>
          <w:rFonts w:eastAsia="Calibri"/>
          <w:sz w:val="28"/>
          <w:szCs w:val="28"/>
        </w:rPr>
        <w:t xml:space="preserve"> </w:t>
      </w:r>
      <w:r w:rsidR="0062460B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И.Ю.Власенко</w:t>
      </w: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6E56" w:rsidRDefault="00686E56" w:rsidP="00D819A8">
      <w:r>
        <w:separator/>
      </w:r>
    </w:p>
  </w:endnote>
  <w:endnote w:type="continuationSeparator" w:id="1">
    <w:p w:rsidR="00686E56" w:rsidRDefault="00686E56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6E56" w:rsidRDefault="00686E56" w:rsidP="00D819A8">
      <w:r>
        <w:separator/>
      </w:r>
    </w:p>
  </w:footnote>
  <w:footnote w:type="continuationSeparator" w:id="1">
    <w:p w:rsidR="00686E56" w:rsidRDefault="00686E56" w:rsidP="00D81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1296"/>
      <w:docPartObj>
        <w:docPartGallery w:val="Page Numbers (Top of Page)"/>
        <w:docPartUnique/>
      </w:docPartObj>
    </w:sdtPr>
    <w:sdtContent>
      <w:p w:rsidR="009D5DE5" w:rsidRDefault="009D5DE5">
        <w:pPr>
          <w:pStyle w:val="ac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3B2550" w:rsidRDefault="003B2550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03042"/>
    <w:rsid w:val="000543FF"/>
    <w:rsid w:val="00087C64"/>
    <w:rsid w:val="00097EF7"/>
    <w:rsid w:val="000B18CA"/>
    <w:rsid w:val="000B2170"/>
    <w:rsid w:val="00126CA1"/>
    <w:rsid w:val="001615B9"/>
    <w:rsid w:val="001624A8"/>
    <w:rsid w:val="00185D89"/>
    <w:rsid w:val="001A2995"/>
    <w:rsid w:val="001E00D2"/>
    <w:rsid w:val="001E7699"/>
    <w:rsid w:val="002008CD"/>
    <w:rsid w:val="00205728"/>
    <w:rsid w:val="0028515C"/>
    <w:rsid w:val="0029769D"/>
    <w:rsid w:val="002C29BD"/>
    <w:rsid w:val="002C5826"/>
    <w:rsid w:val="00315FCA"/>
    <w:rsid w:val="00327F7D"/>
    <w:rsid w:val="00336DEF"/>
    <w:rsid w:val="00343747"/>
    <w:rsid w:val="00345BB7"/>
    <w:rsid w:val="003465AD"/>
    <w:rsid w:val="003615AF"/>
    <w:rsid w:val="003849A1"/>
    <w:rsid w:val="003A7813"/>
    <w:rsid w:val="003B2550"/>
    <w:rsid w:val="003B6E08"/>
    <w:rsid w:val="003D1F67"/>
    <w:rsid w:val="004029AE"/>
    <w:rsid w:val="00422CF4"/>
    <w:rsid w:val="00427398"/>
    <w:rsid w:val="00475A9D"/>
    <w:rsid w:val="004842D0"/>
    <w:rsid w:val="00485439"/>
    <w:rsid w:val="004A52CE"/>
    <w:rsid w:val="004D6A0F"/>
    <w:rsid w:val="00527B70"/>
    <w:rsid w:val="0055645D"/>
    <w:rsid w:val="00591FFE"/>
    <w:rsid w:val="005961D6"/>
    <w:rsid w:val="005B1614"/>
    <w:rsid w:val="005E4F79"/>
    <w:rsid w:val="005F208B"/>
    <w:rsid w:val="00604BE2"/>
    <w:rsid w:val="00613F2B"/>
    <w:rsid w:val="00614E42"/>
    <w:rsid w:val="0062460B"/>
    <w:rsid w:val="00681A7D"/>
    <w:rsid w:val="00686E56"/>
    <w:rsid w:val="00696277"/>
    <w:rsid w:val="006D3DA7"/>
    <w:rsid w:val="006E08FB"/>
    <w:rsid w:val="00746F48"/>
    <w:rsid w:val="00761D2D"/>
    <w:rsid w:val="00775DEB"/>
    <w:rsid w:val="007868B7"/>
    <w:rsid w:val="0079421F"/>
    <w:rsid w:val="007957C9"/>
    <w:rsid w:val="007A223F"/>
    <w:rsid w:val="007B1AD0"/>
    <w:rsid w:val="007C5FFA"/>
    <w:rsid w:val="007F7218"/>
    <w:rsid w:val="00834478"/>
    <w:rsid w:val="00863761"/>
    <w:rsid w:val="00863C38"/>
    <w:rsid w:val="008B2EF4"/>
    <w:rsid w:val="008E2536"/>
    <w:rsid w:val="008F6437"/>
    <w:rsid w:val="0093287F"/>
    <w:rsid w:val="009420C1"/>
    <w:rsid w:val="009859F0"/>
    <w:rsid w:val="00985E0F"/>
    <w:rsid w:val="009A6C36"/>
    <w:rsid w:val="009D5DE5"/>
    <w:rsid w:val="00A17AFC"/>
    <w:rsid w:val="00A212F1"/>
    <w:rsid w:val="00A22022"/>
    <w:rsid w:val="00A40F0B"/>
    <w:rsid w:val="00A46765"/>
    <w:rsid w:val="00A94EC6"/>
    <w:rsid w:val="00AC4083"/>
    <w:rsid w:val="00AE5D6B"/>
    <w:rsid w:val="00AE775A"/>
    <w:rsid w:val="00AF193C"/>
    <w:rsid w:val="00B24918"/>
    <w:rsid w:val="00B441FA"/>
    <w:rsid w:val="00B47BD1"/>
    <w:rsid w:val="00B601E5"/>
    <w:rsid w:val="00B61C7D"/>
    <w:rsid w:val="00B6661E"/>
    <w:rsid w:val="00BB62C7"/>
    <w:rsid w:val="00BE25C2"/>
    <w:rsid w:val="00C722F0"/>
    <w:rsid w:val="00C76F13"/>
    <w:rsid w:val="00C83F65"/>
    <w:rsid w:val="00C9581A"/>
    <w:rsid w:val="00CC26AB"/>
    <w:rsid w:val="00CC6BF6"/>
    <w:rsid w:val="00D3371E"/>
    <w:rsid w:val="00D34EA3"/>
    <w:rsid w:val="00D819A8"/>
    <w:rsid w:val="00D82F00"/>
    <w:rsid w:val="00D87533"/>
    <w:rsid w:val="00DB34D8"/>
    <w:rsid w:val="00DC401E"/>
    <w:rsid w:val="00DF162A"/>
    <w:rsid w:val="00E80A12"/>
    <w:rsid w:val="00E81BB4"/>
    <w:rsid w:val="00EE2E4E"/>
    <w:rsid w:val="00EF27E9"/>
    <w:rsid w:val="00F00914"/>
    <w:rsid w:val="00F1094E"/>
    <w:rsid w:val="00FB076A"/>
    <w:rsid w:val="00FE0DA0"/>
    <w:rsid w:val="00FE4D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a3">
    <w:name w:val="Заголовок"/>
    <w:basedOn w:val="a"/>
    <w:next w:val="a4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5">
    <w:name w:val="List"/>
    <w:basedOn w:val="a4"/>
    <w:rsid w:val="003849A1"/>
    <w:rPr>
      <w:rFonts w:cs="Arial"/>
    </w:rPr>
  </w:style>
  <w:style w:type="paragraph" w:styleId="a6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1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3849A1"/>
    <w:pPr>
      <w:suppressLineNumbers/>
    </w:pPr>
    <w:rPr>
      <w:rFonts w:cs="Arial"/>
    </w:rPr>
  </w:style>
  <w:style w:type="paragraph" w:styleId="a7">
    <w:name w:val="Balloon Text"/>
    <w:basedOn w:val="a"/>
    <w:link w:val="a8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9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8">
    <w:name w:val="Текст выноски Знак"/>
    <w:basedOn w:val="a0"/>
    <w:link w:val="a7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a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b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e">
    <w:name w:val="footer"/>
    <w:basedOn w:val="a"/>
    <w:link w:val="af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0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A4747-071A-4A17-AD8D-E155DFB5B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30</Pages>
  <Words>8070</Words>
  <Characters>46005</Characters>
  <Application>Microsoft Office Word</Application>
  <DocSecurity>0</DocSecurity>
  <Lines>383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2023-10-30T12:04:00Z</cp:lastPrinted>
  <dcterms:created xsi:type="dcterms:W3CDTF">2023-01-12T08:04:00Z</dcterms:created>
  <dcterms:modified xsi:type="dcterms:W3CDTF">2023-10-30T12:08:00Z</dcterms:modified>
</cp:coreProperties>
</file>